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A9161" w14:textId="57427399" w:rsidR="00DF539C" w:rsidRDefault="00B81B77">
      <w:r>
        <w:t>2024 ACES Regional Conferences</w:t>
      </w:r>
    </w:p>
    <w:p w14:paraId="3EC4C071" w14:textId="6D6F7FD6" w:rsidR="00E85AF4" w:rsidRDefault="00E85AF4">
      <w:r>
        <w:t>Table Talk Summary</w:t>
      </w:r>
    </w:p>
    <w:p w14:paraId="25678780" w14:textId="77777777" w:rsidR="00E85AF4" w:rsidRDefault="00E85AF4"/>
    <w:p w14:paraId="5AD8C645" w14:textId="114DB6CD" w:rsidR="00E85AF4" w:rsidRDefault="00E85AF4" w:rsidP="00E85AF4">
      <w:pPr>
        <w:jc w:val="left"/>
        <w:rPr>
          <w:rFonts w:eastAsia="Times New Roman"/>
          <w:color w:val="000000"/>
        </w:rPr>
      </w:pPr>
      <w:r w:rsidRPr="00E85AF4">
        <w:t xml:space="preserve">At each of the </w:t>
      </w:r>
      <w:r>
        <w:t>2024 ACES Regional Conferences CACREP host</w:t>
      </w:r>
      <w:r w:rsidR="00670244">
        <w:t>ed</w:t>
      </w:r>
      <w:r>
        <w:t xml:space="preserve"> Table Talk which </w:t>
      </w:r>
      <w:r w:rsidRPr="00E85AF4">
        <w:rPr>
          <w:rFonts w:eastAsia="Times New Roman"/>
          <w:color w:val="000000"/>
        </w:rPr>
        <w:t xml:space="preserve">an opportunity for CACREP </w:t>
      </w:r>
      <w:r w:rsidR="000135DD">
        <w:rPr>
          <w:rFonts w:eastAsia="Times New Roman"/>
          <w:color w:val="000000"/>
        </w:rPr>
        <w:t xml:space="preserve">Board members and staff </w:t>
      </w:r>
      <w:r w:rsidRPr="00E85AF4">
        <w:rPr>
          <w:rFonts w:eastAsia="Times New Roman"/>
          <w:color w:val="000000"/>
        </w:rPr>
        <w:t xml:space="preserve">to provide an update on accreditation matters and for counselor educators to interact with CACREP representatives to ask questions and share information about what is occurring in your program, institution, and/or state that is influencing counselor preparation and counseling practice. </w:t>
      </w:r>
      <w:r w:rsidR="00670244">
        <w:rPr>
          <w:rFonts w:eastAsia="Times New Roman"/>
          <w:color w:val="000000"/>
        </w:rPr>
        <w:t xml:space="preserve">The following is an aggregate summary of the five </w:t>
      </w:r>
      <w:r w:rsidR="00670244" w:rsidRPr="00E85AF4">
        <w:rPr>
          <w:rFonts w:eastAsia="Times New Roman"/>
          <w:color w:val="000000"/>
        </w:rPr>
        <w:t>interactive session</w:t>
      </w:r>
      <w:r w:rsidR="00670244">
        <w:rPr>
          <w:rFonts w:eastAsia="Times New Roman"/>
          <w:color w:val="000000"/>
        </w:rPr>
        <w:t>s:</w:t>
      </w:r>
    </w:p>
    <w:p w14:paraId="2D8286B3" w14:textId="77777777" w:rsidR="000135DD" w:rsidRDefault="000135DD" w:rsidP="00E85AF4">
      <w:pPr>
        <w:jc w:val="left"/>
        <w:rPr>
          <w:rFonts w:eastAsia="Times New Roman"/>
          <w:color w:val="000000"/>
        </w:rPr>
      </w:pPr>
    </w:p>
    <w:p w14:paraId="69D73E60" w14:textId="1FEC8955" w:rsidR="000135DD" w:rsidRDefault="000135DD" w:rsidP="00E85AF4">
      <w:pPr>
        <w:jc w:val="left"/>
        <w:rPr>
          <w:rFonts w:eastAsia="Times New Roman"/>
          <w:color w:val="000000"/>
        </w:rPr>
      </w:pPr>
      <w:r>
        <w:rPr>
          <w:rFonts w:eastAsia="Times New Roman"/>
          <w:b/>
          <w:bCs/>
          <w:color w:val="000000"/>
        </w:rPr>
        <w:t>Announcements</w:t>
      </w:r>
    </w:p>
    <w:p w14:paraId="1D359492" w14:textId="15C12A1D" w:rsidR="000135DD" w:rsidRDefault="000135DD" w:rsidP="000135DD">
      <w:pPr>
        <w:pStyle w:val="ListParagraph"/>
        <w:numPr>
          <w:ilvl w:val="0"/>
          <w:numId w:val="2"/>
        </w:numPr>
        <w:jc w:val="left"/>
        <w:rPr>
          <w:rFonts w:eastAsia="Times New Roman"/>
          <w:color w:val="000000"/>
        </w:rPr>
      </w:pPr>
      <w:r w:rsidRPr="000135DD">
        <w:rPr>
          <w:rFonts w:eastAsia="Times New Roman"/>
          <w:color w:val="000000"/>
          <w:u w:val="single"/>
        </w:rPr>
        <w:t>New Board members</w:t>
      </w:r>
      <w:r w:rsidR="007532B4">
        <w:rPr>
          <w:rFonts w:eastAsia="Times New Roman"/>
          <w:color w:val="000000"/>
          <w:u w:val="single"/>
        </w:rPr>
        <w:t>:</w:t>
      </w:r>
      <w:r w:rsidRPr="000135DD">
        <w:rPr>
          <w:rFonts w:eastAsia="Times New Roman"/>
          <w:color w:val="000000"/>
        </w:rPr>
        <w:t xml:space="preserve"> </w:t>
      </w:r>
      <w:r w:rsidR="007532B4">
        <w:rPr>
          <w:rFonts w:eastAsia="Times New Roman"/>
          <w:color w:val="000000"/>
        </w:rPr>
        <w:t>A</w:t>
      </w:r>
      <w:r w:rsidRPr="000135DD">
        <w:rPr>
          <w:rFonts w:eastAsia="Times New Roman"/>
          <w:color w:val="000000"/>
        </w:rPr>
        <w:t xml:space="preserve">s of July 1 </w:t>
      </w:r>
      <w:r w:rsidR="007532B4">
        <w:rPr>
          <w:rFonts w:eastAsia="Times New Roman"/>
          <w:color w:val="000000"/>
        </w:rPr>
        <w:t>new members are c</w:t>
      </w:r>
      <w:r w:rsidRPr="000135DD">
        <w:rPr>
          <w:rFonts w:eastAsia="Times New Roman"/>
          <w:color w:val="000000"/>
        </w:rPr>
        <w:t xml:space="preserve">ounselor educators: Drs. Matthew Bonner &amp; Susan Foster and Public Member </w:t>
      </w:r>
      <w:r>
        <w:rPr>
          <w:rFonts w:eastAsia="Times New Roman"/>
          <w:color w:val="000000"/>
        </w:rPr>
        <w:t>Dr</w:t>
      </w:r>
      <w:r w:rsidRPr="000135DD">
        <w:rPr>
          <w:rFonts w:eastAsia="Times New Roman"/>
          <w:color w:val="000000"/>
        </w:rPr>
        <w:t>. Amy King</w:t>
      </w:r>
    </w:p>
    <w:p w14:paraId="12E56DD7" w14:textId="608CB46E" w:rsidR="000135DD" w:rsidRDefault="000135DD" w:rsidP="00EB1859">
      <w:pPr>
        <w:pStyle w:val="ListParagraph"/>
        <w:numPr>
          <w:ilvl w:val="0"/>
          <w:numId w:val="2"/>
        </w:numPr>
        <w:jc w:val="left"/>
        <w:rPr>
          <w:rFonts w:eastAsia="Times New Roman"/>
          <w:color w:val="000000"/>
        </w:rPr>
      </w:pPr>
      <w:r w:rsidRPr="000135DD">
        <w:rPr>
          <w:rFonts w:eastAsia="Times New Roman"/>
          <w:color w:val="000000"/>
          <w:u w:val="single"/>
        </w:rPr>
        <w:t>Board Openings</w:t>
      </w:r>
      <w:r w:rsidRPr="000135DD">
        <w:rPr>
          <w:rFonts w:eastAsia="Times New Roman"/>
          <w:color w:val="000000"/>
          <w:u w:val="single"/>
        </w:rPr>
        <w:t xml:space="preserve">: </w:t>
      </w:r>
      <w:r w:rsidRPr="000135DD">
        <w:rPr>
          <w:rFonts w:eastAsia="Times New Roman"/>
          <w:color w:val="000000"/>
        </w:rPr>
        <w:t>CACREP will be selecting new Board members for five-year terms beginning July 1, 2025. Two</w:t>
      </w:r>
      <w:r>
        <w:rPr>
          <w:rFonts w:eastAsia="Times New Roman"/>
          <w:color w:val="000000"/>
        </w:rPr>
        <w:t xml:space="preserve"> </w:t>
      </w:r>
      <w:r w:rsidRPr="000135DD">
        <w:rPr>
          <w:rFonts w:eastAsia="Times New Roman"/>
          <w:color w:val="000000"/>
        </w:rPr>
        <w:t xml:space="preserve">Counselor Educators member positions to be filled. The deadline for application </w:t>
      </w:r>
      <w:r>
        <w:rPr>
          <w:rFonts w:eastAsia="Times New Roman"/>
          <w:color w:val="000000"/>
        </w:rPr>
        <w:t>was</w:t>
      </w:r>
      <w:r w:rsidRPr="000135DD">
        <w:rPr>
          <w:rFonts w:eastAsia="Times New Roman"/>
          <w:color w:val="000000"/>
        </w:rPr>
        <w:t xml:space="preserve"> November 22, 2024. </w:t>
      </w:r>
    </w:p>
    <w:p w14:paraId="06B387A8" w14:textId="147EEA17" w:rsidR="000135DD" w:rsidRPr="000135DD" w:rsidRDefault="000135DD" w:rsidP="000135DD">
      <w:pPr>
        <w:pStyle w:val="ListParagraph"/>
        <w:numPr>
          <w:ilvl w:val="0"/>
          <w:numId w:val="2"/>
        </w:numPr>
        <w:jc w:val="left"/>
        <w:rPr>
          <w:rFonts w:eastAsia="Times New Roman"/>
          <w:color w:val="000000"/>
        </w:rPr>
      </w:pPr>
      <w:r w:rsidRPr="000135DD">
        <w:rPr>
          <w:rFonts w:eastAsia="Times New Roman"/>
          <w:color w:val="000000"/>
          <w:u w:val="single"/>
        </w:rPr>
        <w:t>Site Visitors</w:t>
      </w:r>
      <w:r w:rsidR="007532B4">
        <w:rPr>
          <w:rFonts w:eastAsia="Times New Roman"/>
          <w:color w:val="000000"/>
          <w:u w:val="single"/>
        </w:rPr>
        <w:t>:</w:t>
      </w:r>
    </w:p>
    <w:p w14:paraId="3067F480" w14:textId="77777777" w:rsidR="000135DD" w:rsidRPr="000135DD" w:rsidRDefault="000135DD" w:rsidP="000135DD">
      <w:pPr>
        <w:numPr>
          <w:ilvl w:val="0"/>
          <w:numId w:val="1"/>
        </w:numPr>
        <w:tabs>
          <w:tab w:val="clear" w:pos="720"/>
          <w:tab w:val="num" w:pos="1260"/>
        </w:tabs>
        <w:ind w:left="1260"/>
        <w:jc w:val="left"/>
        <w:rPr>
          <w:rFonts w:eastAsia="Times New Roman"/>
          <w:color w:val="000000"/>
        </w:rPr>
      </w:pPr>
      <w:r w:rsidRPr="000135DD">
        <w:rPr>
          <w:rFonts w:eastAsia="Times New Roman"/>
          <w:color w:val="000000"/>
        </w:rPr>
        <w:t xml:space="preserve">The CACREP accreditation review process is primarily a peer review process, with counselor educators and practitioners serving as reviewers at all levels of review: as academic review specialists, site visitors, and board members. </w:t>
      </w:r>
    </w:p>
    <w:p w14:paraId="1F1B9C62" w14:textId="4878B261" w:rsidR="000135DD" w:rsidRPr="000135DD" w:rsidRDefault="000135DD" w:rsidP="000135DD">
      <w:pPr>
        <w:numPr>
          <w:ilvl w:val="0"/>
          <w:numId w:val="1"/>
        </w:numPr>
        <w:tabs>
          <w:tab w:val="clear" w:pos="720"/>
          <w:tab w:val="num" w:pos="1260"/>
        </w:tabs>
        <w:ind w:left="1260"/>
        <w:jc w:val="left"/>
        <w:rPr>
          <w:rFonts w:eastAsia="Times New Roman"/>
          <w:color w:val="000000"/>
        </w:rPr>
      </w:pPr>
      <w:r w:rsidRPr="000135DD">
        <w:rPr>
          <w:rFonts w:eastAsia="Times New Roman"/>
          <w:color w:val="000000"/>
        </w:rPr>
        <w:t xml:space="preserve">CACREP is actively recruiting counselor educators and practitioners with expertise in any of the counseling specialty areas and/or in doctoral counselor education and supervision doctoral programs to </w:t>
      </w:r>
      <w:hyperlink r:id="rId5" w:history="1">
        <w:r w:rsidRPr="000135DD">
          <w:rPr>
            <w:rStyle w:val="Hyperlink"/>
            <w:rFonts w:eastAsia="Times New Roman"/>
          </w:rPr>
          <w:t>apply</w:t>
        </w:r>
      </w:hyperlink>
      <w:r w:rsidRPr="000135DD">
        <w:rPr>
          <w:rFonts w:eastAsia="Times New Roman"/>
          <w:color w:val="000000"/>
        </w:rPr>
        <w:t xml:space="preserve"> to serve as site visitors</w:t>
      </w:r>
      <w:r>
        <w:rPr>
          <w:rFonts w:eastAsia="Times New Roman"/>
          <w:color w:val="000000"/>
        </w:rPr>
        <w:t xml:space="preserve">. </w:t>
      </w:r>
      <w:r w:rsidRPr="000135DD">
        <w:rPr>
          <w:rFonts w:eastAsia="Times New Roman"/>
          <w:color w:val="000000"/>
        </w:rPr>
        <w:t xml:space="preserve">Our highest need areas are School Counseling and Addictions Counseling but applications from individuals with expertise in any of the specialty areas and/or doctoral programs are welcomed. </w:t>
      </w:r>
    </w:p>
    <w:p w14:paraId="014B12D4" w14:textId="1F256953" w:rsidR="000135DD" w:rsidRPr="000135DD" w:rsidRDefault="000135DD" w:rsidP="000135DD">
      <w:pPr>
        <w:numPr>
          <w:ilvl w:val="0"/>
          <w:numId w:val="1"/>
        </w:numPr>
        <w:tabs>
          <w:tab w:val="clear" w:pos="720"/>
          <w:tab w:val="num" w:pos="1260"/>
        </w:tabs>
        <w:ind w:left="1260"/>
        <w:jc w:val="left"/>
        <w:rPr>
          <w:rFonts w:eastAsia="Times New Roman"/>
          <w:color w:val="000000"/>
        </w:rPr>
      </w:pPr>
      <w:r w:rsidRPr="000135DD">
        <w:rPr>
          <w:rFonts w:eastAsia="Times New Roman"/>
          <w:color w:val="000000"/>
        </w:rPr>
        <w:t xml:space="preserve">Once your application is reviewed and approved, you will be sent a link to </w:t>
      </w:r>
      <w:r>
        <w:rPr>
          <w:rFonts w:eastAsia="Times New Roman"/>
          <w:color w:val="000000"/>
        </w:rPr>
        <w:t xml:space="preserve">an </w:t>
      </w:r>
      <w:r w:rsidRPr="000135DD">
        <w:rPr>
          <w:rFonts w:eastAsia="Times New Roman"/>
          <w:color w:val="000000"/>
        </w:rPr>
        <w:t xml:space="preserve">online </w:t>
      </w:r>
      <w:r w:rsidR="00901DBE" w:rsidRPr="000135DD">
        <w:rPr>
          <w:rFonts w:eastAsia="Times New Roman"/>
          <w:color w:val="000000"/>
        </w:rPr>
        <w:t>Site</w:t>
      </w:r>
      <w:r w:rsidRPr="000135DD">
        <w:rPr>
          <w:rFonts w:eastAsia="Times New Roman"/>
          <w:color w:val="000000"/>
        </w:rPr>
        <w:t xml:space="preserve"> </w:t>
      </w:r>
      <w:r w:rsidR="00901DBE">
        <w:rPr>
          <w:rFonts w:eastAsia="Times New Roman"/>
          <w:color w:val="000000"/>
        </w:rPr>
        <w:t xml:space="preserve">Team </w:t>
      </w:r>
      <w:r>
        <w:rPr>
          <w:rFonts w:eastAsia="Times New Roman"/>
          <w:color w:val="000000"/>
        </w:rPr>
        <w:t xml:space="preserve">Member </w:t>
      </w:r>
      <w:r w:rsidRPr="000135DD">
        <w:rPr>
          <w:rFonts w:eastAsia="Times New Roman"/>
          <w:color w:val="000000"/>
        </w:rPr>
        <w:t>training module</w:t>
      </w:r>
      <w:r w:rsidR="00901DBE">
        <w:rPr>
          <w:rFonts w:eastAsia="Times New Roman"/>
          <w:color w:val="000000"/>
        </w:rPr>
        <w:t xml:space="preserve"> which includes for both </w:t>
      </w:r>
      <w:r w:rsidRPr="000135DD">
        <w:rPr>
          <w:rFonts w:eastAsia="Times New Roman"/>
          <w:color w:val="000000"/>
        </w:rPr>
        <w:t>virtual and in-person</w:t>
      </w:r>
      <w:r w:rsidR="00901DBE">
        <w:rPr>
          <w:rFonts w:eastAsia="Times New Roman"/>
          <w:color w:val="000000"/>
        </w:rPr>
        <w:t xml:space="preserve"> visits </w:t>
      </w:r>
      <w:r>
        <w:rPr>
          <w:rFonts w:eastAsia="Times New Roman"/>
          <w:color w:val="000000"/>
        </w:rPr>
        <w:t>.</w:t>
      </w:r>
      <w:r w:rsidRPr="000135DD">
        <w:rPr>
          <w:rFonts w:eastAsia="Times New Roman"/>
          <w:color w:val="000000"/>
        </w:rPr>
        <w:t xml:space="preserve"> </w:t>
      </w:r>
    </w:p>
    <w:p w14:paraId="7191D61C" w14:textId="1BDF94CC" w:rsidR="000135DD" w:rsidRPr="000135DD" w:rsidRDefault="000135DD" w:rsidP="000135DD">
      <w:pPr>
        <w:numPr>
          <w:ilvl w:val="0"/>
          <w:numId w:val="1"/>
        </w:numPr>
        <w:tabs>
          <w:tab w:val="clear" w:pos="720"/>
          <w:tab w:val="num" w:pos="1260"/>
        </w:tabs>
        <w:ind w:left="1260"/>
        <w:jc w:val="left"/>
        <w:rPr>
          <w:rFonts w:eastAsia="Times New Roman"/>
          <w:color w:val="000000"/>
        </w:rPr>
      </w:pPr>
      <w:r>
        <w:rPr>
          <w:rFonts w:eastAsia="Times New Roman"/>
          <w:color w:val="000000"/>
        </w:rPr>
        <w:t xml:space="preserve">CACREP is </w:t>
      </w:r>
      <w:r w:rsidRPr="000135DD">
        <w:rPr>
          <w:rFonts w:eastAsia="Times New Roman"/>
          <w:color w:val="000000"/>
        </w:rPr>
        <w:t xml:space="preserve">in great need of site visitors, we </w:t>
      </w:r>
      <w:r>
        <w:rPr>
          <w:rFonts w:eastAsia="Times New Roman"/>
          <w:color w:val="000000"/>
        </w:rPr>
        <w:t xml:space="preserve">conduct site visits </w:t>
      </w:r>
      <w:r w:rsidRPr="000135DD">
        <w:rPr>
          <w:rFonts w:eastAsia="Times New Roman"/>
          <w:color w:val="000000"/>
        </w:rPr>
        <w:t xml:space="preserve">as </w:t>
      </w:r>
      <w:r>
        <w:rPr>
          <w:rFonts w:eastAsia="Times New Roman"/>
          <w:color w:val="000000"/>
        </w:rPr>
        <w:t xml:space="preserve">quickly </w:t>
      </w:r>
      <w:r w:rsidRPr="000135DD">
        <w:rPr>
          <w:rFonts w:eastAsia="Times New Roman"/>
          <w:color w:val="000000"/>
        </w:rPr>
        <w:t xml:space="preserve">as we assemble teams. </w:t>
      </w:r>
      <w:r w:rsidR="00901DBE">
        <w:rPr>
          <w:rFonts w:eastAsia="Times New Roman"/>
          <w:color w:val="000000"/>
        </w:rPr>
        <w:t>For context, i</w:t>
      </w:r>
      <w:r w:rsidRPr="000135DD">
        <w:rPr>
          <w:rFonts w:eastAsia="Times New Roman"/>
          <w:color w:val="000000"/>
        </w:rPr>
        <w:t xml:space="preserve">n 2023-24 we conducted 71 site visits and are actively assembling teams for </w:t>
      </w:r>
      <w:r w:rsidR="00901DBE">
        <w:rPr>
          <w:rFonts w:eastAsia="Times New Roman"/>
          <w:color w:val="000000"/>
        </w:rPr>
        <w:t>Spring</w:t>
      </w:r>
      <w:r w:rsidRPr="000135DD">
        <w:rPr>
          <w:rFonts w:eastAsia="Times New Roman"/>
          <w:color w:val="000000"/>
        </w:rPr>
        <w:t xml:space="preserve"> visits.</w:t>
      </w:r>
    </w:p>
    <w:p w14:paraId="02CFDC99" w14:textId="41E361CC" w:rsidR="000135DD" w:rsidRPr="000135DD" w:rsidRDefault="000135DD" w:rsidP="000135DD">
      <w:pPr>
        <w:numPr>
          <w:ilvl w:val="0"/>
          <w:numId w:val="1"/>
        </w:numPr>
        <w:tabs>
          <w:tab w:val="clear" w:pos="720"/>
          <w:tab w:val="num" w:pos="1260"/>
        </w:tabs>
        <w:ind w:left="1260"/>
        <w:jc w:val="left"/>
        <w:rPr>
          <w:rFonts w:eastAsia="Times New Roman"/>
          <w:color w:val="000000"/>
        </w:rPr>
      </w:pPr>
      <w:r w:rsidRPr="000135DD">
        <w:rPr>
          <w:rFonts w:eastAsia="Times New Roman"/>
          <w:color w:val="000000"/>
        </w:rPr>
        <w:t xml:space="preserve">Benefits of serving as a site visitor include providing national service to the profession, contributing to quality assurance in counselor preparation, gaining exposure to innovative ideas, and engaging in individual professional development.  </w:t>
      </w:r>
    </w:p>
    <w:p w14:paraId="0E94D4FD" w14:textId="2F56B0BB" w:rsidR="000135DD" w:rsidRPr="000135DD" w:rsidRDefault="000135DD" w:rsidP="000135DD">
      <w:pPr>
        <w:numPr>
          <w:ilvl w:val="0"/>
          <w:numId w:val="1"/>
        </w:numPr>
        <w:tabs>
          <w:tab w:val="clear" w:pos="720"/>
          <w:tab w:val="num" w:pos="1260"/>
        </w:tabs>
        <w:ind w:left="1260"/>
        <w:jc w:val="left"/>
        <w:rPr>
          <w:rFonts w:eastAsia="Times New Roman"/>
          <w:color w:val="000000"/>
        </w:rPr>
      </w:pPr>
      <w:r w:rsidRPr="000135DD">
        <w:rPr>
          <w:rFonts w:eastAsia="Times New Roman"/>
          <w:color w:val="000000"/>
        </w:rPr>
        <w:t>C</w:t>
      </w:r>
      <w:r w:rsidR="00901DBE">
        <w:rPr>
          <w:rFonts w:eastAsia="Times New Roman"/>
          <w:color w:val="000000"/>
        </w:rPr>
        <w:t xml:space="preserve">ACREP challenges </w:t>
      </w:r>
      <w:r w:rsidRPr="000135DD">
        <w:rPr>
          <w:rFonts w:eastAsia="Times New Roman"/>
          <w:color w:val="000000"/>
        </w:rPr>
        <w:t xml:space="preserve">every accredited </w:t>
      </w:r>
      <w:r w:rsidR="00580758" w:rsidRPr="000135DD">
        <w:rPr>
          <w:rFonts w:eastAsia="Times New Roman"/>
          <w:color w:val="000000"/>
        </w:rPr>
        <w:t>program that</w:t>
      </w:r>
      <w:r w:rsidRPr="000135DD">
        <w:rPr>
          <w:rFonts w:eastAsia="Times New Roman"/>
          <w:color w:val="000000"/>
        </w:rPr>
        <w:t xml:space="preserve"> one person from their faculty </w:t>
      </w:r>
      <w:r w:rsidR="00901DBE">
        <w:rPr>
          <w:rFonts w:eastAsia="Times New Roman"/>
          <w:color w:val="000000"/>
        </w:rPr>
        <w:t>conduct</w:t>
      </w:r>
      <w:r w:rsidRPr="000135DD">
        <w:rPr>
          <w:rFonts w:eastAsia="Times New Roman"/>
          <w:color w:val="000000"/>
        </w:rPr>
        <w:t xml:space="preserve"> one site visit a year. </w:t>
      </w:r>
    </w:p>
    <w:p w14:paraId="67ED41BF" w14:textId="43875126" w:rsidR="005B0C12" w:rsidRDefault="000135DD" w:rsidP="0028166E">
      <w:pPr>
        <w:pStyle w:val="ListParagraph"/>
        <w:numPr>
          <w:ilvl w:val="0"/>
          <w:numId w:val="2"/>
        </w:numPr>
        <w:tabs>
          <w:tab w:val="num" w:pos="1260"/>
        </w:tabs>
        <w:jc w:val="left"/>
        <w:rPr>
          <w:rFonts w:eastAsia="Times New Roman"/>
          <w:color w:val="000000"/>
        </w:rPr>
      </w:pPr>
      <w:r w:rsidRPr="005B0C12">
        <w:rPr>
          <w:rFonts w:eastAsia="Times New Roman"/>
          <w:color w:val="000000"/>
          <w:u w:val="single"/>
        </w:rPr>
        <w:t>2024 CACREP Standards</w:t>
      </w:r>
      <w:r w:rsidR="005B0C12" w:rsidRPr="005B0C12">
        <w:rPr>
          <w:rFonts w:eastAsia="Times New Roman"/>
          <w:color w:val="000000"/>
          <w:u w:val="single"/>
        </w:rPr>
        <w:t xml:space="preserve">: </w:t>
      </w:r>
      <w:r w:rsidRPr="000135DD">
        <w:rPr>
          <w:rFonts w:eastAsia="Times New Roman"/>
          <w:color w:val="000000"/>
        </w:rPr>
        <w:t xml:space="preserve">Your one-stop shop for all things on the new standards is the </w:t>
      </w:r>
      <w:hyperlink r:id="rId6" w:history="1">
        <w:r w:rsidRPr="000135DD">
          <w:rPr>
            <w:rStyle w:val="Hyperlink"/>
            <w:rFonts w:eastAsia="Times New Roman"/>
          </w:rPr>
          <w:t xml:space="preserve">CACREP 2024 Standards Resource </w:t>
        </w:r>
        <w:r w:rsidR="005B0C12">
          <w:rPr>
            <w:rStyle w:val="Hyperlink"/>
            <w:rFonts w:eastAsia="Times New Roman"/>
          </w:rPr>
          <w:t>P</w:t>
        </w:r>
        <w:r w:rsidRPr="000135DD">
          <w:rPr>
            <w:rStyle w:val="Hyperlink"/>
            <w:rFonts w:eastAsia="Times New Roman"/>
          </w:rPr>
          <w:t>age</w:t>
        </w:r>
      </w:hyperlink>
      <w:r w:rsidRPr="000135DD">
        <w:rPr>
          <w:rFonts w:eastAsia="Times New Roman"/>
          <w:color w:val="000000"/>
        </w:rPr>
        <w:t xml:space="preserve">. </w:t>
      </w:r>
      <w:r w:rsidR="00FB3026">
        <w:rPr>
          <w:rFonts w:eastAsia="Times New Roman"/>
          <w:color w:val="000000"/>
        </w:rPr>
        <w:t xml:space="preserve">A significant resource developed as a complement to the 0224 CACREP Standards in the </w:t>
      </w:r>
      <w:hyperlink r:id="rId7" w:history="1">
        <w:r w:rsidR="00FB3026" w:rsidRPr="00FB3026">
          <w:rPr>
            <w:rStyle w:val="Hyperlink"/>
            <w:rFonts w:eastAsia="Times New Roman"/>
          </w:rPr>
          <w:t>Guidance Document</w:t>
        </w:r>
      </w:hyperlink>
      <w:r w:rsidR="00FB3026">
        <w:rPr>
          <w:rFonts w:eastAsia="Times New Roman"/>
          <w:color w:val="000000"/>
        </w:rPr>
        <w:t xml:space="preserve"> which provides assistance with regard to the letter and spirit of the standards and policies. </w:t>
      </w:r>
    </w:p>
    <w:p w14:paraId="065315DD" w14:textId="77777777" w:rsidR="00705286" w:rsidRDefault="00705286" w:rsidP="00705286">
      <w:pPr>
        <w:ind w:left="720" w:hanging="720"/>
        <w:jc w:val="left"/>
        <w:rPr>
          <w:rFonts w:eastAsia="Times New Roman"/>
          <w:color w:val="000000"/>
        </w:rPr>
      </w:pPr>
    </w:p>
    <w:p w14:paraId="4C4416FD" w14:textId="223DAE79" w:rsidR="007532B4" w:rsidRPr="007532B4" w:rsidRDefault="007532B4" w:rsidP="007532B4">
      <w:pPr>
        <w:jc w:val="left"/>
        <w:rPr>
          <w:rFonts w:eastAsia="Times New Roman"/>
          <w:b/>
          <w:bCs/>
          <w:color w:val="000000"/>
        </w:rPr>
      </w:pPr>
      <w:r w:rsidRPr="007532B4">
        <w:rPr>
          <w:rFonts w:eastAsia="Times New Roman"/>
          <w:b/>
          <w:bCs/>
          <w:color w:val="000000"/>
        </w:rPr>
        <w:t>Updates</w:t>
      </w:r>
    </w:p>
    <w:p w14:paraId="4CD5F75D" w14:textId="353B730D" w:rsidR="007532B4" w:rsidRPr="007532B4" w:rsidRDefault="007532B4" w:rsidP="007532B4">
      <w:pPr>
        <w:pStyle w:val="ListParagraph"/>
        <w:numPr>
          <w:ilvl w:val="0"/>
          <w:numId w:val="3"/>
        </w:numPr>
        <w:jc w:val="left"/>
      </w:pPr>
      <w:r w:rsidRPr="007532B4">
        <w:rPr>
          <w:u w:val="single"/>
        </w:rPr>
        <w:t>Centralized Staff Support</w:t>
      </w:r>
      <w:r>
        <w:rPr>
          <w:u w:val="single"/>
        </w:rPr>
        <w:t>:</w:t>
      </w:r>
      <w:r w:rsidRPr="007532B4">
        <w:t xml:space="preserve"> CACREP</w:t>
      </w:r>
      <w:r>
        <w:t xml:space="preserve"> has moved </w:t>
      </w:r>
      <w:r w:rsidRPr="007532B4">
        <w:t xml:space="preserve">away from a single staff member assigned </w:t>
      </w:r>
      <w:r>
        <w:t xml:space="preserve">to a </w:t>
      </w:r>
      <w:r w:rsidRPr="007532B4">
        <w:t>program to a centralized approach to program support.</w:t>
      </w:r>
      <w:r>
        <w:t xml:space="preserve"> If you have a </w:t>
      </w:r>
      <w:r w:rsidRPr="007532B4">
        <w:t>program-specific question</w:t>
      </w:r>
      <w:r>
        <w:t xml:space="preserve">, </w:t>
      </w:r>
      <w:r w:rsidRPr="007532B4">
        <w:t xml:space="preserve">submit query to </w:t>
      </w:r>
      <w:hyperlink r:id="rId8" w:history="1">
        <w:r w:rsidRPr="007532B4">
          <w:rPr>
            <w:rStyle w:val="Hyperlink"/>
          </w:rPr>
          <w:t>staffsupport@cacrep.org</w:t>
        </w:r>
      </w:hyperlink>
      <w:r w:rsidRPr="007532B4">
        <w:t xml:space="preserve"> and those inquiries are delegated to staff for response. </w:t>
      </w:r>
      <w:r>
        <w:t>Y</w:t>
      </w:r>
      <w:r w:rsidRPr="007532B4">
        <w:t xml:space="preserve">ou will hear back from a different staff member each time based on their availability/turn to respond to queries on any given day. </w:t>
      </w:r>
    </w:p>
    <w:p w14:paraId="477F8E4A" w14:textId="503CDA36" w:rsidR="007532B4" w:rsidRPr="007532B4" w:rsidRDefault="007532B4" w:rsidP="007532B4">
      <w:pPr>
        <w:pStyle w:val="ListParagraph"/>
        <w:numPr>
          <w:ilvl w:val="0"/>
          <w:numId w:val="3"/>
        </w:numPr>
        <w:jc w:val="left"/>
      </w:pPr>
      <w:r w:rsidRPr="007532B4">
        <w:rPr>
          <w:u w:val="single"/>
        </w:rPr>
        <w:t>Accreditation Review process</w:t>
      </w:r>
      <w:r w:rsidR="00FD7E9E">
        <w:rPr>
          <w:u w:val="single"/>
        </w:rPr>
        <w:t>:</w:t>
      </w:r>
    </w:p>
    <w:p w14:paraId="17D5B9FE" w14:textId="77777777" w:rsidR="00E64F14" w:rsidRDefault="007B6E39" w:rsidP="007B6E39">
      <w:pPr>
        <w:pStyle w:val="ListParagraph"/>
        <w:numPr>
          <w:ilvl w:val="0"/>
          <w:numId w:val="5"/>
        </w:numPr>
        <w:jc w:val="left"/>
      </w:pPr>
      <w:r>
        <w:t xml:space="preserve">Application </w:t>
      </w:r>
      <w:r w:rsidR="007532B4" w:rsidRPr="007532B4">
        <w:t>Fee</w:t>
      </w:r>
      <w:r>
        <w:t xml:space="preserve"> </w:t>
      </w:r>
      <w:r w:rsidR="007532B4" w:rsidRPr="007532B4">
        <w:t xml:space="preserve">must be received with </w:t>
      </w:r>
      <w:r w:rsidR="00E64F14">
        <w:t>A</w:t>
      </w:r>
      <w:r w:rsidR="007532B4" w:rsidRPr="007532B4">
        <w:t>pplication and S</w:t>
      </w:r>
      <w:r>
        <w:t>elf-</w:t>
      </w:r>
      <w:r w:rsidR="007532B4" w:rsidRPr="007532B4">
        <w:t>S</w:t>
      </w:r>
      <w:r>
        <w:t xml:space="preserve">tudy </w:t>
      </w:r>
      <w:r w:rsidR="007532B4" w:rsidRPr="007532B4">
        <w:t>R</w:t>
      </w:r>
      <w:r>
        <w:t>eport</w:t>
      </w:r>
      <w:r w:rsidR="007532B4" w:rsidRPr="007532B4">
        <w:t xml:space="preserve"> in order </w:t>
      </w:r>
      <w:r w:rsidR="00E64F14">
        <w:t xml:space="preserve">for </w:t>
      </w:r>
      <w:r w:rsidR="007532B4" w:rsidRPr="007532B4">
        <w:t xml:space="preserve">the </w:t>
      </w:r>
      <w:r w:rsidR="00E64F14">
        <w:t xml:space="preserve">accreditation </w:t>
      </w:r>
      <w:r w:rsidR="007532B4" w:rsidRPr="007532B4">
        <w:t>review process</w:t>
      </w:r>
      <w:r w:rsidR="00E64F14">
        <w:t xml:space="preserve"> </w:t>
      </w:r>
      <w:r w:rsidR="007532B4" w:rsidRPr="007532B4">
        <w:t>to begin</w:t>
      </w:r>
    </w:p>
    <w:p w14:paraId="03828F1E" w14:textId="5AA73E49" w:rsidR="007532B4" w:rsidRDefault="00E64F14" w:rsidP="007B6E39">
      <w:pPr>
        <w:pStyle w:val="ListParagraph"/>
        <w:numPr>
          <w:ilvl w:val="0"/>
          <w:numId w:val="5"/>
        </w:numPr>
        <w:jc w:val="left"/>
      </w:pPr>
      <w:r>
        <w:t>S</w:t>
      </w:r>
      <w:r w:rsidR="007532B4" w:rsidRPr="007532B4">
        <w:t xml:space="preserve">ite visit fee must be received before a site visit will </w:t>
      </w:r>
      <w:r w:rsidR="00705286">
        <w:t>commence</w:t>
      </w:r>
      <w:r w:rsidR="007532B4" w:rsidRPr="007532B4">
        <w:t>.</w:t>
      </w:r>
    </w:p>
    <w:p w14:paraId="42B92A65" w14:textId="58BA57E3" w:rsidR="007532B4" w:rsidRPr="007532B4" w:rsidRDefault="00E64F14" w:rsidP="00E64F14">
      <w:pPr>
        <w:pStyle w:val="ListParagraph"/>
        <w:numPr>
          <w:ilvl w:val="0"/>
          <w:numId w:val="5"/>
        </w:numPr>
        <w:jc w:val="left"/>
      </w:pPr>
      <w:r>
        <w:t>CACREP now conducts a p</w:t>
      </w:r>
      <w:r w:rsidR="007532B4" w:rsidRPr="007532B4">
        <w:t xml:space="preserve">reliminary review </w:t>
      </w:r>
      <w:r>
        <w:t xml:space="preserve">of a </w:t>
      </w:r>
      <w:r w:rsidR="007532B4" w:rsidRPr="007532B4">
        <w:t>S</w:t>
      </w:r>
      <w:r>
        <w:t>elf-</w:t>
      </w:r>
      <w:r w:rsidR="007532B4" w:rsidRPr="007532B4">
        <w:t>S</w:t>
      </w:r>
      <w:r>
        <w:t xml:space="preserve">tudy </w:t>
      </w:r>
      <w:r w:rsidR="007532B4" w:rsidRPr="007532B4">
        <w:t>R</w:t>
      </w:r>
      <w:r>
        <w:t>eport</w:t>
      </w:r>
      <w:r>
        <w:t xml:space="preserve"> when it is submitted to </w:t>
      </w:r>
      <w:r w:rsidR="007532B4" w:rsidRPr="007532B4">
        <w:t>ensure required documentation has been included before it enter the desk review queue. If anything is missing programs will be asked to submit missing documentation before being entered into the desk review queue</w:t>
      </w:r>
      <w:r>
        <w:t>.</w:t>
      </w:r>
    </w:p>
    <w:p w14:paraId="664A7CAC" w14:textId="77777777" w:rsidR="00E64F14" w:rsidRDefault="007532B4" w:rsidP="00E64F14">
      <w:pPr>
        <w:pStyle w:val="ListParagraph"/>
        <w:numPr>
          <w:ilvl w:val="0"/>
          <w:numId w:val="3"/>
        </w:numPr>
        <w:jc w:val="left"/>
      </w:pPr>
      <w:r w:rsidRPr="007532B4">
        <w:rPr>
          <w:u w:val="single"/>
        </w:rPr>
        <w:t>Accreditation decision letters</w:t>
      </w:r>
      <w:r w:rsidR="00E64F14">
        <w:rPr>
          <w:u w:val="single"/>
        </w:rPr>
        <w:t>:</w:t>
      </w:r>
      <w:r w:rsidR="00E64F14" w:rsidRPr="00E64F14">
        <w:t xml:space="preserve"> </w:t>
      </w:r>
      <w:r w:rsidRPr="007532B4">
        <w:t xml:space="preserve">As of the July 2024 meeting, accreditation decision letters will go out in two batches to accommodate CHEA requirements for notification on accreditation status and to handle the volume of letters (over 200) that </w:t>
      </w:r>
      <w:r w:rsidR="00E64F14" w:rsidRPr="007532B4">
        <w:t>must</w:t>
      </w:r>
      <w:r w:rsidRPr="007532B4">
        <w:t xml:space="preserve"> be written post-Board meeting.</w:t>
      </w:r>
      <w:r w:rsidR="00E64F14">
        <w:t xml:space="preserve"> </w:t>
      </w:r>
    </w:p>
    <w:p w14:paraId="2F9DCFCC" w14:textId="45C6E280" w:rsidR="007532B4" w:rsidRPr="007532B4" w:rsidRDefault="007532B4" w:rsidP="00E64F14">
      <w:pPr>
        <w:ind w:left="720"/>
        <w:jc w:val="left"/>
      </w:pPr>
      <w:r w:rsidRPr="007532B4">
        <w:t>All accreditation status-related decisions from a Board meeting will be communicated only via formal written correspondence within 30 calendar days of the conclusion of the Board meeting.</w:t>
      </w:r>
      <w:r w:rsidR="00E64F14">
        <w:t xml:space="preserve"> </w:t>
      </w:r>
      <w:r w:rsidRPr="007532B4">
        <w:t>Programs that fall in this category are those to which initial accredited status is awarded or denied; currently accredited programs seeking reaffirmation of accreditation for which there is a change in accredited status due to an action to either deny or revoke accreditation; and currently accredited programs to which a sanction has been imposed. </w:t>
      </w:r>
    </w:p>
    <w:p w14:paraId="3F99B8B6" w14:textId="03EFAA42" w:rsidR="007532B4" w:rsidRPr="007532B4" w:rsidRDefault="007532B4" w:rsidP="00E64F14">
      <w:pPr>
        <w:pStyle w:val="ListParagraph"/>
        <w:jc w:val="left"/>
      </w:pPr>
      <w:r w:rsidRPr="007532B4">
        <w:t>Programs for which there is no change in accreditation status, as a result of Board actions, will be notified in writing within 60 calendar days of the end of the BOD meeting</w:t>
      </w:r>
      <w:r w:rsidR="00E64F14">
        <w:t>.</w:t>
      </w:r>
      <w:r w:rsidRPr="007532B4">
        <w:t> Programs that fall in this category are those for which continued accreditation is reaffirmed, and approval of the following has occurred: Progress Reports, Interim Reports, Substantive Change reports, monitoring reports, extension requests, and teach-out plans. </w:t>
      </w:r>
    </w:p>
    <w:p w14:paraId="2721ED65" w14:textId="77122E37" w:rsidR="00705286" w:rsidRDefault="005C382D" w:rsidP="00705286">
      <w:pPr>
        <w:pStyle w:val="ListParagraph"/>
        <w:numPr>
          <w:ilvl w:val="0"/>
          <w:numId w:val="3"/>
        </w:numPr>
        <w:jc w:val="left"/>
      </w:pPr>
      <w:r w:rsidRPr="005C382D">
        <w:rPr>
          <w:u w:val="single"/>
        </w:rPr>
        <w:t>AMS</w:t>
      </w:r>
      <w:r w:rsidRPr="005C382D">
        <w:rPr>
          <w:u w:val="single"/>
        </w:rPr>
        <w:t xml:space="preserve">: </w:t>
      </w:r>
      <w:r w:rsidRPr="005C382D">
        <w:t xml:space="preserve">One of CACREP’s goals is to provide expanded services and support </w:t>
      </w:r>
      <w:r w:rsidR="00222CC4" w:rsidRPr="005C382D">
        <w:t>for</w:t>
      </w:r>
      <w:r w:rsidRPr="005C382D">
        <w:t xml:space="preserve"> our accredited programs. To that end, </w:t>
      </w:r>
      <w:r w:rsidR="00705286">
        <w:t xml:space="preserve">CACREP </w:t>
      </w:r>
      <w:r w:rsidRPr="005C382D">
        <w:t>made a significant investment in an Accreditation Management System</w:t>
      </w:r>
      <w:r w:rsidR="00222CC4">
        <w:t xml:space="preserve"> and is currently </w:t>
      </w:r>
      <w:r w:rsidRPr="005C382D">
        <w:t>engaged in a multi-phase rollout of the AMS since May 2024</w:t>
      </w:r>
      <w:r w:rsidR="00705286">
        <w:t>.</w:t>
      </w:r>
      <w:r w:rsidR="00222CC4">
        <w:t xml:space="preserve"> </w:t>
      </w:r>
      <w:r w:rsidR="00222CC4" w:rsidRPr="000135DD">
        <w:rPr>
          <w:rFonts w:eastAsia="Times New Roman"/>
          <w:color w:val="000000"/>
        </w:rPr>
        <w:t xml:space="preserve">Your one-stop shop for all things </w:t>
      </w:r>
      <w:r w:rsidR="00222CC4">
        <w:rPr>
          <w:rFonts w:eastAsia="Times New Roman"/>
          <w:color w:val="000000"/>
        </w:rPr>
        <w:t xml:space="preserve">AMS </w:t>
      </w:r>
      <w:r w:rsidR="00222CC4" w:rsidRPr="000135DD">
        <w:rPr>
          <w:rFonts w:eastAsia="Times New Roman"/>
          <w:color w:val="000000"/>
        </w:rPr>
        <w:t xml:space="preserve">is the </w:t>
      </w:r>
      <w:hyperlink r:id="rId9" w:history="1">
        <w:r w:rsidRPr="005C382D">
          <w:rPr>
            <w:rStyle w:val="Hyperlink"/>
          </w:rPr>
          <w:t>Accreditation Management System</w:t>
        </w:r>
        <w:r w:rsidR="00222CC4" w:rsidRPr="009943DC">
          <w:rPr>
            <w:rStyle w:val="Hyperlink"/>
          </w:rPr>
          <w:t xml:space="preserve"> </w:t>
        </w:r>
        <w:r w:rsidR="00222CC4" w:rsidRPr="000135DD">
          <w:rPr>
            <w:rStyle w:val="Hyperlink"/>
            <w:rFonts w:eastAsia="Times New Roman"/>
          </w:rPr>
          <w:t xml:space="preserve">Resource </w:t>
        </w:r>
        <w:r w:rsidR="00222CC4" w:rsidRPr="009943DC">
          <w:rPr>
            <w:rStyle w:val="Hyperlink"/>
            <w:rFonts w:eastAsia="Times New Roman"/>
          </w:rPr>
          <w:t>P</w:t>
        </w:r>
        <w:r w:rsidR="00222CC4" w:rsidRPr="000135DD">
          <w:rPr>
            <w:rStyle w:val="Hyperlink"/>
            <w:rFonts w:eastAsia="Times New Roman"/>
          </w:rPr>
          <w:t>age</w:t>
        </w:r>
      </w:hyperlink>
      <w:r w:rsidR="00222CC4" w:rsidRPr="000135DD">
        <w:rPr>
          <w:rFonts w:eastAsia="Times New Roman"/>
          <w:color w:val="000000"/>
        </w:rPr>
        <w:t>.</w:t>
      </w:r>
    </w:p>
    <w:p w14:paraId="0E05C4BC" w14:textId="77777777" w:rsidR="009943DC" w:rsidRDefault="009943DC" w:rsidP="009943DC">
      <w:pPr>
        <w:pStyle w:val="ListParagraph"/>
        <w:jc w:val="left"/>
      </w:pPr>
      <w:r>
        <w:t>I</w:t>
      </w:r>
      <w:r w:rsidR="005C382D" w:rsidRPr="005C382D">
        <w:t xml:space="preserve">t is extremely important that </w:t>
      </w:r>
      <w:r>
        <w:t xml:space="preserve">programs keep current at all times </w:t>
      </w:r>
      <w:r w:rsidR="005C382D" w:rsidRPr="005C382D">
        <w:t xml:space="preserve">who is </w:t>
      </w:r>
      <w:r>
        <w:t xml:space="preserve">the </w:t>
      </w:r>
      <w:r w:rsidR="005C382D" w:rsidRPr="005C382D">
        <w:t>Program Liaison</w:t>
      </w:r>
      <w:r>
        <w:t xml:space="preserve"> on the institution’s dashboard. </w:t>
      </w:r>
      <w:r w:rsidR="005C382D" w:rsidRPr="005C382D">
        <w:t xml:space="preserve">This is the person to whom all communications is sent for dissemination to faculty and administrators. </w:t>
      </w:r>
    </w:p>
    <w:p w14:paraId="1658108C" w14:textId="3D950113" w:rsidR="005C382D" w:rsidRPr="005C382D" w:rsidRDefault="00584186" w:rsidP="00584186">
      <w:pPr>
        <w:pStyle w:val="ListParagraph"/>
        <w:ind w:left="1620" w:hanging="900"/>
        <w:jc w:val="left"/>
      </w:pPr>
      <w:r>
        <w:t>Caution:</w:t>
      </w:r>
      <w:r>
        <w:tab/>
      </w:r>
      <w:r w:rsidR="005C382D" w:rsidRPr="005C382D">
        <w:t xml:space="preserve">As programs move to using digital platforms and software that include the CACREP Standards, please be sure to check with the vendor that they have secured copyright permission from CACREP. </w:t>
      </w:r>
      <w:r w:rsidR="00185AE2">
        <w:t xml:space="preserve">If they have not, CACREP </w:t>
      </w:r>
      <w:r w:rsidR="005C382D" w:rsidRPr="005C382D">
        <w:t xml:space="preserve">will send </w:t>
      </w:r>
      <w:r w:rsidR="00185AE2">
        <w:t xml:space="preserve">a </w:t>
      </w:r>
      <w:r w:rsidR="005C382D" w:rsidRPr="005C382D">
        <w:t xml:space="preserve">cease and desist letter to anyone who uses proprietary products without permission. You do not want to lose any data that you might have within </w:t>
      </w:r>
      <w:r w:rsidR="00185AE2" w:rsidRPr="005C382D">
        <w:t>unauthorized</w:t>
      </w:r>
      <w:r w:rsidR="005C382D" w:rsidRPr="005C382D">
        <w:t xml:space="preserve"> software.</w:t>
      </w:r>
    </w:p>
    <w:p w14:paraId="78CD507E" w14:textId="44CE951E" w:rsidR="005C382D" w:rsidRPr="005C382D" w:rsidRDefault="005C382D" w:rsidP="00071280">
      <w:pPr>
        <w:pStyle w:val="ListParagraph"/>
        <w:numPr>
          <w:ilvl w:val="0"/>
          <w:numId w:val="3"/>
        </w:numPr>
        <w:jc w:val="left"/>
      </w:pPr>
      <w:r w:rsidRPr="005C382D">
        <w:rPr>
          <w:u w:val="single"/>
        </w:rPr>
        <w:t>Monitoring Legislative Issues</w:t>
      </w:r>
      <w:r w:rsidR="00493DB0">
        <w:rPr>
          <w:u w:val="single"/>
        </w:rPr>
        <w:t>:</w:t>
      </w:r>
      <w:r w:rsidR="00493DB0" w:rsidRPr="00493DB0">
        <w:t xml:space="preserve"> </w:t>
      </w:r>
      <w:r w:rsidRPr="005C382D">
        <w:t>CACREP tracks legislation that has anything to do with Counselor preparation and Counselor licensure</w:t>
      </w:r>
      <w:r w:rsidR="00493DB0">
        <w:t xml:space="preserve"> and </w:t>
      </w:r>
      <w:r w:rsidRPr="005C382D">
        <w:t>write</w:t>
      </w:r>
      <w:r w:rsidR="00493DB0">
        <w:t>s</w:t>
      </w:r>
      <w:r w:rsidRPr="005C382D">
        <w:t xml:space="preserve"> letters in support or opposition to a proposed law or rule change. When appropriate </w:t>
      </w:r>
      <w:r w:rsidR="00493DB0">
        <w:t>CACREP</w:t>
      </w:r>
      <w:r w:rsidRPr="005C382D">
        <w:t xml:space="preserve"> put</w:t>
      </w:r>
      <w:r w:rsidR="00493DB0">
        <w:t>s</w:t>
      </w:r>
      <w:r w:rsidRPr="005C382D">
        <w:t xml:space="preserve"> out a call to programs in that state to reach-out to their legislators – this often times is time sensitive.</w:t>
      </w:r>
    </w:p>
    <w:p w14:paraId="4D06A5DD" w14:textId="629449D3" w:rsidR="005C382D" w:rsidRPr="005C382D" w:rsidRDefault="005C382D" w:rsidP="009E7D8B">
      <w:pPr>
        <w:pStyle w:val="ListParagraph"/>
        <w:numPr>
          <w:ilvl w:val="0"/>
          <w:numId w:val="3"/>
        </w:numPr>
        <w:jc w:val="left"/>
      </w:pPr>
      <w:r w:rsidRPr="005C382D">
        <w:rPr>
          <w:u w:val="single"/>
        </w:rPr>
        <w:t>CACREP Bulletin</w:t>
      </w:r>
      <w:r w:rsidR="009E7D8B">
        <w:rPr>
          <w:u w:val="single"/>
        </w:rPr>
        <w:t>:</w:t>
      </w:r>
      <w:r w:rsidRPr="005C382D">
        <w:t xml:space="preserve"> Since November 2021 </w:t>
      </w:r>
      <w:r w:rsidR="009E7D8B">
        <w:t>CACREP has</w:t>
      </w:r>
      <w:r w:rsidRPr="005C382D">
        <w:t xml:space="preserve"> been sending </w:t>
      </w:r>
      <w:r w:rsidR="009E7D8B">
        <w:t xml:space="preserve">program </w:t>
      </w:r>
      <w:r w:rsidRPr="005C382D">
        <w:t xml:space="preserve">liaisons a monthly CACREP Bulletin that identifies additions to the website and reminders of upcoming deadlines. </w:t>
      </w:r>
      <w:r w:rsidR="009E7D8B">
        <w:t xml:space="preserve">Program liaisons are </w:t>
      </w:r>
      <w:r w:rsidRPr="005C382D">
        <w:t xml:space="preserve">asked </w:t>
      </w:r>
      <w:r w:rsidR="009E7D8B">
        <w:t xml:space="preserve">to </w:t>
      </w:r>
      <w:r w:rsidRPr="005C382D">
        <w:t xml:space="preserve">forward the Bulletin to all faculty. This is CACREP’s method for keeping </w:t>
      </w:r>
      <w:r w:rsidR="009E7D8B">
        <w:t>programs</w:t>
      </w:r>
      <w:r w:rsidRPr="005C382D">
        <w:t xml:space="preserve"> always up-to-date</w:t>
      </w:r>
    </w:p>
    <w:p w14:paraId="75A7CFB2" w14:textId="77777777" w:rsidR="005C382D" w:rsidRDefault="005C382D" w:rsidP="00DE0903">
      <w:pPr>
        <w:ind w:left="360"/>
        <w:jc w:val="left"/>
      </w:pPr>
    </w:p>
    <w:p w14:paraId="696C4043" w14:textId="67AC8A26" w:rsidR="00DE0903" w:rsidRDefault="00DE0903" w:rsidP="00DE0903">
      <w:pPr>
        <w:ind w:left="720" w:hanging="720"/>
        <w:jc w:val="left"/>
        <w:rPr>
          <w:rFonts w:eastAsia="Times New Roman"/>
          <w:color w:val="000000"/>
        </w:rPr>
      </w:pPr>
      <w:r w:rsidRPr="00DE0903">
        <w:rPr>
          <w:rFonts w:eastAsia="Times New Roman"/>
          <w:b/>
          <w:bCs/>
          <w:color w:val="000000"/>
        </w:rPr>
        <w:t>N</w:t>
      </w:r>
      <w:r>
        <w:rPr>
          <w:rFonts w:eastAsia="Times New Roman"/>
          <w:b/>
          <w:bCs/>
          <w:color w:val="000000"/>
        </w:rPr>
        <w:t>OTE</w:t>
      </w:r>
      <w:r>
        <w:rPr>
          <w:rFonts w:eastAsia="Times New Roman"/>
          <w:color w:val="000000"/>
        </w:rPr>
        <w:t xml:space="preserve">: CACREP presented a second session on </w:t>
      </w:r>
      <w:hyperlink r:id="rId10" w:history="1">
        <w:r w:rsidRPr="00705286">
          <w:rPr>
            <w:rStyle w:val="Hyperlink"/>
            <w:rFonts w:eastAsia="Times New Roman"/>
          </w:rPr>
          <w:t>Understanding the CACREP 2024 Standards and Guidance Document</w:t>
        </w:r>
      </w:hyperlink>
      <w:r>
        <w:rPr>
          <w:rFonts w:eastAsia="Times New Roman"/>
          <w:color w:val="000000"/>
        </w:rPr>
        <w:t>.</w:t>
      </w:r>
    </w:p>
    <w:p w14:paraId="32BF2146" w14:textId="77777777" w:rsidR="00DE0903" w:rsidRPr="00E85AF4" w:rsidRDefault="00DE0903" w:rsidP="00DE0903">
      <w:pPr>
        <w:ind w:left="360"/>
        <w:jc w:val="left"/>
      </w:pPr>
    </w:p>
    <w:sectPr w:rsidR="00DE0903" w:rsidRPr="00E85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E268B"/>
    <w:multiLevelType w:val="hybridMultilevel"/>
    <w:tmpl w:val="C064499E"/>
    <w:lvl w:ilvl="0" w:tplc="8ADEFB40">
      <w:start w:val="1"/>
      <w:numFmt w:val="bullet"/>
      <w:lvlText w:val="-"/>
      <w:lvlJc w:val="left"/>
      <w:pPr>
        <w:tabs>
          <w:tab w:val="num" w:pos="720"/>
        </w:tabs>
        <w:ind w:left="720" w:hanging="360"/>
      </w:pPr>
      <w:rPr>
        <w:rFonts w:ascii="Times New Roman" w:hAnsi="Times New Roman" w:hint="default"/>
      </w:rPr>
    </w:lvl>
    <w:lvl w:ilvl="1" w:tplc="929A94C2" w:tentative="1">
      <w:start w:val="1"/>
      <w:numFmt w:val="bullet"/>
      <w:lvlText w:val="-"/>
      <w:lvlJc w:val="left"/>
      <w:pPr>
        <w:tabs>
          <w:tab w:val="num" w:pos="1440"/>
        </w:tabs>
        <w:ind w:left="1440" w:hanging="360"/>
      </w:pPr>
      <w:rPr>
        <w:rFonts w:ascii="Times New Roman" w:hAnsi="Times New Roman" w:hint="default"/>
      </w:rPr>
    </w:lvl>
    <w:lvl w:ilvl="2" w:tplc="418634B2" w:tentative="1">
      <w:start w:val="1"/>
      <w:numFmt w:val="bullet"/>
      <w:lvlText w:val="-"/>
      <w:lvlJc w:val="left"/>
      <w:pPr>
        <w:tabs>
          <w:tab w:val="num" w:pos="2160"/>
        </w:tabs>
        <w:ind w:left="2160" w:hanging="360"/>
      </w:pPr>
      <w:rPr>
        <w:rFonts w:ascii="Times New Roman" w:hAnsi="Times New Roman" w:hint="default"/>
      </w:rPr>
    </w:lvl>
    <w:lvl w:ilvl="3" w:tplc="E850D602" w:tentative="1">
      <w:start w:val="1"/>
      <w:numFmt w:val="bullet"/>
      <w:lvlText w:val="-"/>
      <w:lvlJc w:val="left"/>
      <w:pPr>
        <w:tabs>
          <w:tab w:val="num" w:pos="2880"/>
        </w:tabs>
        <w:ind w:left="2880" w:hanging="360"/>
      </w:pPr>
      <w:rPr>
        <w:rFonts w:ascii="Times New Roman" w:hAnsi="Times New Roman" w:hint="default"/>
      </w:rPr>
    </w:lvl>
    <w:lvl w:ilvl="4" w:tplc="B574D536" w:tentative="1">
      <w:start w:val="1"/>
      <w:numFmt w:val="bullet"/>
      <w:lvlText w:val="-"/>
      <w:lvlJc w:val="left"/>
      <w:pPr>
        <w:tabs>
          <w:tab w:val="num" w:pos="3600"/>
        </w:tabs>
        <w:ind w:left="3600" w:hanging="360"/>
      </w:pPr>
      <w:rPr>
        <w:rFonts w:ascii="Times New Roman" w:hAnsi="Times New Roman" w:hint="default"/>
      </w:rPr>
    </w:lvl>
    <w:lvl w:ilvl="5" w:tplc="08309CC0" w:tentative="1">
      <w:start w:val="1"/>
      <w:numFmt w:val="bullet"/>
      <w:lvlText w:val="-"/>
      <w:lvlJc w:val="left"/>
      <w:pPr>
        <w:tabs>
          <w:tab w:val="num" w:pos="4320"/>
        </w:tabs>
        <w:ind w:left="4320" w:hanging="360"/>
      </w:pPr>
      <w:rPr>
        <w:rFonts w:ascii="Times New Roman" w:hAnsi="Times New Roman" w:hint="default"/>
      </w:rPr>
    </w:lvl>
    <w:lvl w:ilvl="6" w:tplc="ED16FE54" w:tentative="1">
      <w:start w:val="1"/>
      <w:numFmt w:val="bullet"/>
      <w:lvlText w:val="-"/>
      <w:lvlJc w:val="left"/>
      <w:pPr>
        <w:tabs>
          <w:tab w:val="num" w:pos="5040"/>
        </w:tabs>
        <w:ind w:left="5040" w:hanging="360"/>
      </w:pPr>
      <w:rPr>
        <w:rFonts w:ascii="Times New Roman" w:hAnsi="Times New Roman" w:hint="default"/>
      </w:rPr>
    </w:lvl>
    <w:lvl w:ilvl="7" w:tplc="8488FB5A" w:tentative="1">
      <w:start w:val="1"/>
      <w:numFmt w:val="bullet"/>
      <w:lvlText w:val="-"/>
      <w:lvlJc w:val="left"/>
      <w:pPr>
        <w:tabs>
          <w:tab w:val="num" w:pos="5760"/>
        </w:tabs>
        <w:ind w:left="5760" w:hanging="360"/>
      </w:pPr>
      <w:rPr>
        <w:rFonts w:ascii="Times New Roman" w:hAnsi="Times New Roman" w:hint="default"/>
      </w:rPr>
    </w:lvl>
    <w:lvl w:ilvl="8" w:tplc="7070FF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55C25C6"/>
    <w:multiLevelType w:val="hybridMultilevel"/>
    <w:tmpl w:val="D27A3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62078B"/>
    <w:multiLevelType w:val="hybridMultilevel"/>
    <w:tmpl w:val="40E04416"/>
    <w:lvl w:ilvl="0" w:tplc="8A14A9FA">
      <w:start w:val="1"/>
      <w:numFmt w:val="bullet"/>
      <w:lvlText w:val="-"/>
      <w:lvlJc w:val="left"/>
      <w:pPr>
        <w:tabs>
          <w:tab w:val="num" w:pos="720"/>
        </w:tabs>
        <w:ind w:left="720" w:hanging="360"/>
      </w:pPr>
      <w:rPr>
        <w:rFonts w:ascii="Times New Roman" w:hAnsi="Times New Roman" w:hint="default"/>
      </w:rPr>
    </w:lvl>
    <w:lvl w:ilvl="1" w:tplc="62D85464" w:tentative="1">
      <w:start w:val="1"/>
      <w:numFmt w:val="bullet"/>
      <w:lvlText w:val="-"/>
      <w:lvlJc w:val="left"/>
      <w:pPr>
        <w:tabs>
          <w:tab w:val="num" w:pos="1440"/>
        </w:tabs>
        <w:ind w:left="1440" w:hanging="360"/>
      </w:pPr>
      <w:rPr>
        <w:rFonts w:ascii="Times New Roman" w:hAnsi="Times New Roman" w:hint="default"/>
      </w:rPr>
    </w:lvl>
    <w:lvl w:ilvl="2" w:tplc="D54EBA80" w:tentative="1">
      <w:start w:val="1"/>
      <w:numFmt w:val="bullet"/>
      <w:lvlText w:val="-"/>
      <w:lvlJc w:val="left"/>
      <w:pPr>
        <w:tabs>
          <w:tab w:val="num" w:pos="2160"/>
        </w:tabs>
        <w:ind w:left="2160" w:hanging="360"/>
      </w:pPr>
      <w:rPr>
        <w:rFonts w:ascii="Times New Roman" w:hAnsi="Times New Roman" w:hint="default"/>
      </w:rPr>
    </w:lvl>
    <w:lvl w:ilvl="3" w:tplc="4E20A908" w:tentative="1">
      <w:start w:val="1"/>
      <w:numFmt w:val="bullet"/>
      <w:lvlText w:val="-"/>
      <w:lvlJc w:val="left"/>
      <w:pPr>
        <w:tabs>
          <w:tab w:val="num" w:pos="2880"/>
        </w:tabs>
        <w:ind w:left="2880" w:hanging="360"/>
      </w:pPr>
      <w:rPr>
        <w:rFonts w:ascii="Times New Roman" w:hAnsi="Times New Roman" w:hint="default"/>
      </w:rPr>
    </w:lvl>
    <w:lvl w:ilvl="4" w:tplc="3DE2534A" w:tentative="1">
      <w:start w:val="1"/>
      <w:numFmt w:val="bullet"/>
      <w:lvlText w:val="-"/>
      <w:lvlJc w:val="left"/>
      <w:pPr>
        <w:tabs>
          <w:tab w:val="num" w:pos="3600"/>
        </w:tabs>
        <w:ind w:left="3600" w:hanging="360"/>
      </w:pPr>
      <w:rPr>
        <w:rFonts w:ascii="Times New Roman" w:hAnsi="Times New Roman" w:hint="default"/>
      </w:rPr>
    </w:lvl>
    <w:lvl w:ilvl="5" w:tplc="A3023010" w:tentative="1">
      <w:start w:val="1"/>
      <w:numFmt w:val="bullet"/>
      <w:lvlText w:val="-"/>
      <w:lvlJc w:val="left"/>
      <w:pPr>
        <w:tabs>
          <w:tab w:val="num" w:pos="4320"/>
        </w:tabs>
        <w:ind w:left="4320" w:hanging="360"/>
      </w:pPr>
      <w:rPr>
        <w:rFonts w:ascii="Times New Roman" w:hAnsi="Times New Roman" w:hint="default"/>
      </w:rPr>
    </w:lvl>
    <w:lvl w:ilvl="6" w:tplc="40A423A8" w:tentative="1">
      <w:start w:val="1"/>
      <w:numFmt w:val="bullet"/>
      <w:lvlText w:val="-"/>
      <w:lvlJc w:val="left"/>
      <w:pPr>
        <w:tabs>
          <w:tab w:val="num" w:pos="5040"/>
        </w:tabs>
        <w:ind w:left="5040" w:hanging="360"/>
      </w:pPr>
      <w:rPr>
        <w:rFonts w:ascii="Times New Roman" w:hAnsi="Times New Roman" w:hint="default"/>
      </w:rPr>
    </w:lvl>
    <w:lvl w:ilvl="7" w:tplc="4342A146" w:tentative="1">
      <w:start w:val="1"/>
      <w:numFmt w:val="bullet"/>
      <w:lvlText w:val="-"/>
      <w:lvlJc w:val="left"/>
      <w:pPr>
        <w:tabs>
          <w:tab w:val="num" w:pos="5760"/>
        </w:tabs>
        <w:ind w:left="5760" w:hanging="360"/>
      </w:pPr>
      <w:rPr>
        <w:rFonts w:ascii="Times New Roman" w:hAnsi="Times New Roman" w:hint="default"/>
      </w:rPr>
    </w:lvl>
    <w:lvl w:ilvl="8" w:tplc="74C06F7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37F209F"/>
    <w:multiLevelType w:val="hybridMultilevel"/>
    <w:tmpl w:val="DD547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9392F"/>
    <w:multiLevelType w:val="hybridMultilevel"/>
    <w:tmpl w:val="FC6C770C"/>
    <w:lvl w:ilvl="0" w:tplc="745084C8">
      <w:start w:val="1"/>
      <w:numFmt w:val="bullet"/>
      <w:lvlText w:val="•"/>
      <w:lvlJc w:val="left"/>
      <w:pPr>
        <w:tabs>
          <w:tab w:val="num" w:pos="720"/>
        </w:tabs>
        <w:ind w:left="720" w:hanging="360"/>
      </w:pPr>
      <w:rPr>
        <w:rFonts w:ascii="Arial" w:hAnsi="Arial" w:hint="default"/>
      </w:rPr>
    </w:lvl>
    <w:lvl w:ilvl="1" w:tplc="65C49E0C" w:tentative="1">
      <w:start w:val="1"/>
      <w:numFmt w:val="bullet"/>
      <w:lvlText w:val="•"/>
      <w:lvlJc w:val="left"/>
      <w:pPr>
        <w:tabs>
          <w:tab w:val="num" w:pos="1440"/>
        </w:tabs>
        <w:ind w:left="1440" w:hanging="360"/>
      </w:pPr>
      <w:rPr>
        <w:rFonts w:ascii="Arial" w:hAnsi="Arial" w:hint="default"/>
      </w:rPr>
    </w:lvl>
    <w:lvl w:ilvl="2" w:tplc="B742E688" w:tentative="1">
      <w:start w:val="1"/>
      <w:numFmt w:val="bullet"/>
      <w:lvlText w:val="•"/>
      <w:lvlJc w:val="left"/>
      <w:pPr>
        <w:tabs>
          <w:tab w:val="num" w:pos="2160"/>
        </w:tabs>
        <w:ind w:left="2160" w:hanging="360"/>
      </w:pPr>
      <w:rPr>
        <w:rFonts w:ascii="Arial" w:hAnsi="Arial" w:hint="default"/>
      </w:rPr>
    </w:lvl>
    <w:lvl w:ilvl="3" w:tplc="9046323E" w:tentative="1">
      <w:start w:val="1"/>
      <w:numFmt w:val="bullet"/>
      <w:lvlText w:val="•"/>
      <w:lvlJc w:val="left"/>
      <w:pPr>
        <w:tabs>
          <w:tab w:val="num" w:pos="2880"/>
        </w:tabs>
        <w:ind w:left="2880" w:hanging="360"/>
      </w:pPr>
      <w:rPr>
        <w:rFonts w:ascii="Arial" w:hAnsi="Arial" w:hint="default"/>
      </w:rPr>
    </w:lvl>
    <w:lvl w:ilvl="4" w:tplc="EC9E1E42" w:tentative="1">
      <w:start w:val="1"/>
      <w:numFmt w:val="bullet"/>
      <w:lvlText w:val="•"/>
      <w:lvlJc w:val="left"/>
      <w:pPr>
        <w:tabs>
          <w:tab w:val="num" w:pos="3600"/>
        </w:tabs>
        <w:ind w:left="3600" w:hanging="360"/>
      </w:pPr>
      <w:rPr>
        <w:rFonts w:ascii="Arial" w:hAnsi="Arial" w:hint="default"/>
      </w:rPr>
    </w:lvl>
    <w:lvl w:ilvl="5" w:tplc="0BE4658E" w:tentative="1">
      <w:start w:val="1"/>
      <w:numFmt w:val="bullet"/>
      <w:lvlText w:val="•"/>
      <w:lvlJc w:val="left"/>
      <w:pPr>
        <w:tabs>
          <w:tab w:val="num" w:pos="4320"/>
        </w:tabs>
        <w:ind w:left="4320" w:hanging="360"/>
      </w:pPr>
      <w:rPr>
        <w:rFonts w:ascii="Arial" w:hAnsi="Arial" w:hint="default"/>
      </w:rPr>
    </w:lvl>
    <w:lvl w:ilvl="6" w:tplc="90FC87C8" w:tentative="1">
      <w:start w:val="1"/>
      <w:numFmt w:val="bullet"/>
      <w:lvlText w:val="•"/>
      <w:lvlJc w:val="left"/>
      <w:pPr>
        <w:tabs>
          <w:tab w:val="num" w:pos="5040"/>
        </w:tabs>
        <w:ind w:left="5040" w:hanging="360"/>
      </w:pPr>
      <w:rPr>
        <w:rFonts w:ascii="Arial" w:hAnsi="Arial" w:hint="default"/>
      </w:rPr>
    </w:lvl>
    <w:lvl w:ilvl="7" w:tplc="85DCC6C2" w:tentative="1">
      <w:start w:val="1"/>
      <w:numFmt w:val="bullet"/>
      <w:lvlText w:val="•"/>
      <w:lvlJc w:val="left"/>
      <w:pPr>
        <w:tabs>
          <w:tab w:val="num" w:pos="5760"/>
        </w:tabs>
        <w:ind w:left="5760" w:hanging="360"/>
      </w:pPr>
      <w:rPr>
        <w:rFonts w:ascii="Arial" w:hAnsi="Arial" w:hint="default"/>
      </w:rPr>
    </w:lvl>
    <w:lvl w:ilvl="8" w:tplc="8954F4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E332F22"/>
    <w:multiLevelType w:val="hybridMultilevel"/>
    <w:tmpl w:val="498C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490025">
    <w:abstractNumId w:val="2"/>
  </w:num>
  <w:num w:numId="2" w16cid:durableId="439301847">
    <w:abstractNumId w:val="5"/>
  </w:num>
  <w:num w:numId="3" w16cid:durableId="1864858688">
    <w:abstractNumId w:val="3"/>
  </w:num>
  <w:num w:numId="4" w16cid:durableId="768162086">
    <w:abstractNumId w:val="4"/>
  </w:num>
  <w:num w:numId="5" w16cid:durableId="1596091680">
    <w:abstractNumId w:val="1"/>
  </w:num>
  <w:num w:numId="6" w16cid:durableId="17080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77"/>
    <w:rsid w:val="000135DD"/>
    <w:rsid w:val="00095807"/>
    <w:rsid w:val="001373F6"/>
    <w:rsid w:val="00185AE2"/>
    <w:rsid w:val="00222CC4"/>
    <w:rsid w:val="002F09D2"/>
    <w:rsid w:val="00493DB0"/>
    <w:rsid w:val="00580758"/>
    <w:rsid w:val="00584186"/>
    <w:rsid w:val="005B0C12"/>
    <w:rsid w:val="005C382D"/>
    <w:rsid w:val="006238A7"/>
    <w:rsid w:val="00670244"/>
    <w:rsid w:val="006C1D4D"/>
    <w:rsid w:val="00705286"/>
    <w:rsid w:val="00736510"/>
    <w:rsid w:val="007532B4"/>
    <w:rsid w:val="007B6E39"/>
    <w:rsid w:val="00901DBE"/>
    <w:rsid w:val="009943DC"/>
    <w:rsid w:val="009E7D8B"/>
    <w:rsid w:val="00B81B77"/>
    <w:rsid w:val="00DE0903"/>
    <w:rsid w:val="00DF539C"/>
    <w:rsid w:val="00E64F14"/>
    <w:rsid w:val="00E71218"/>
    <w:rsid w:val="00E85AF4"/>
    <w:rsid w:val="00FB3026"/>
    <w:rsid w:val="00FD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1DF7"/>
  <w15:chartTrackingRefBased/>
  <w15:docId w15:val="{F52D6A07-B1E1-4472-B6E9-131EDCDE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B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B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1B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1B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1B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1B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1B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B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B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1B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1B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1B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1B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1B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1B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B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B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1B77"/>
    <w:pPr>
      <w:spacing w:before="160" w:after="160"/>
    </w:pPr>
    <w:rPr>
      <w:i/>
      <w:iCs/>
      <w:color w:val="404040" w:themeColor="text1" w:themeTint="BF"/>
    </w:rPr>
  </w:style>
  <w:style w:type="character" w:customStyle="1" w:styleId="QuoteChar">
    <w:name w:val="Quote Char"/>
    <w:basedOn w:val="DefaultParagraphFont"/>
    <w:link w:val="Quote"/>
    <w:uiPriority w:val="29"/>
    <w:rsid w:val="00B81B77"/>
    <w:rPr>
      <w:i/>
      <w:iCs/>
      <w:color w:val="404040" w:themeColor="text1" w:themeTint="BF"/>
    </w:rPr>
  </w:style>
  <w:style w:type="paragraph" w:styleId="ListParagraph">
    <w:name w:val="List Paragraph"/>
    <w:basedOn w:val="Normal"/>
    <w:uiPriority w:val="34"/>
    <w:qFormat/>
    <w:rsid w:val="00B81B77"/>
    <w:pPr>
      <w:ind w:left="720"/>
      <w:contextualSpacing/>
    </w:pPr>
  </w:style>
  <w:style w:type="character" w:styleId="IntenseEmphasis">
    <w:name w:val="Intense Emphasis"/>
    <w:basedOn w:val="DefaultParagraphFont"/>
    <w:uiPriority w:val="21"/>
    <w:qFormat/>
    <w:rsid w:val="00B81B77"/>
    <w:rPr>
      <w:i/>
      <w:iCs/>
      <w:color w:val="0F4761" w:themeColor="accent1" w:themeShade="BF"/>
    </w:rPr>
  </w:style>
  <w:style w:type="paragraph" w:styleId="IntenseQuote">
    <w:name w:val="Intense Quote"/>
    <w:basedOn w:val="Normal"/>
    <w:next w:val="Normal"/>
    <w:link w:val="IntenseQuoteChar"/>
    <w:uiPriority w:val="30"/>
    <w:qFormat/>
    <w:rsid w:val="00B81B7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81B77"/>
    <w:rPr>
      <w:i/>
      <w:iCs/>
      <w:color w:val="0F4761" w:themeColor="accent1" w:themeShade="BF"/>
    </w:rPr>
  </w:style>
  <w:style w:type="character" w:styleId="IntenseReference">
    <w:name w:val="Intense Reference"/>
    <w:basedOn w:val="DefaultParagraphFont"/>
    <w:uiPriority w:val="32"/>
    <w:qFormat/>
    <w:rsid w:val="00B81B77"/>
    <w:rPr>
      <w:b/>
      <w:bCs/>
      <w:smallCaps/>
      <w:color w:val="0F4761" w:themeColor="accent1" w:themeShade="BF"/>
      <w:spacing w:val="5"/>
    </w:rPr>
  </w:style>
  <w:style w:type="character" w:styleId="Hyperlink">
    <w:name w:val="Hyperlink"/>
    <w:basedOn w:val="DefaultParagraphFont"/>
    <w:uiPriority w:val="99"/>
    <w:unhideWhenUsed/>
    <w:rsid w:val="000135DD"/>
    <w:rPr>
      <w:color w:val="467886" w:themeColor="hyperlink"/>
      <w:u w:val="single"/>
    </w:rPr>
  </w:style>
  <w:style w:type="character" w:styleId="UnresolvedMention">
    <w:name w:val="Unresolved Mention"/>
    <w:basedOn w:val="DefaultParagraphFont"/>
    <w:uiPriority w:val="99"/>
    <w:semiHidden/>
    <w:unhideWhenUsed/>
    <w:rsid w:val="00013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7793">
      <w:bodyDiv w:val="1"/>
      <w:marLeft w:val="0"/>
      <w:marRight w:val="0"/>
      <w:marTop w:val="0"/>
      <w:marBottom w:val="0"/>
      <w:divBdr>
        <w:top w:val="none" w:sz="0" w:space="0" w:color="auto"/>
        <w:left w:val="none" w:sz="0" w:space="0" w:color="auto"/>
        <w:bottom w:val="none" w:sz="0" w:space="0" w:color="auto"/>
        <w:right w:val="none" w:sz="0" w:space="0" w:color="auto"/>
      </w:divBdr>
      <w:divsChild>
        <w:div w:id="796876376">
          <w:marLeft w:val="274"/>
          <w:marRight w:val="0"/>
          <w:marTop w:val="0"/>
          <w:marBottom w:val="0"/>
          <w:divBdr>
            <w:top w:val="none" w:sz="0" w:space="0" w:color="auto"/>
            <w:left w:val="none" w:sz="0" w:space="0" w:color="auto"/>
            <w:bottom w:val="none" w:sz="0" w:space="0" w:color="auto"/>
            <w:right w:val="none" w:sz="0" w:space="0" w:color="auto"/>
          </w:divBdr>
        </w:div>
        <w:div w:id="1019088950">
          <w:marLeft w:val="274"/>
          <w:marRight w:val="0"/>
          <w:marTop w:val="0"/>
          <w:marBottom w:val="0"/>
          <w:divBdr>
            <w:top w:val="none" w:sz="0" w:space="0" w:color="auto"/>
            <w:left w:val="none" w:sz="0" w:space="0" w:color="auto"/>
            <w:bottom w:val="none" w:sz="0" w:space="0" w:color="auto"/>
            <w:right w:val="none" w:sz="0" w:space="0" w:color="auto"/>
          </w:divBdr>
        </w:div>
      </w:divsChild>
    </w:div>
    <w:div w:id="766123267">
      <w:bodyDiv w:val="1"/>
      <w:marLeft w:val="0"/>
      <w:marRight w:val="0"/>
      <w:marTop w:val="0"/>
      <w:marBottom w:val="0"/>
      <w:divBdr>
        <w:top w:val="none" w:sz="0" w:space="0" w:color="auto"/>
        <w:left w:val="none" w:sz="0" w:space="0" w:color="auto"/>
        <w:bottom w:val="none" w:sz="0" w:space="0" w:color="auto"/>
        <w:right w:val="none" w:sz="0" w:space="0" w:color="auto"/>
      </w:divBdr>
      <w:divsChild>
        <w:div w:id="681471104">
          <w:marLeft w:val="274"/>
          <w:marRight w:val="0"/>
          <w:marTop w:val="0"/>
          <w:marBottom w:val="0"/>
          <w:divBdr>
            <w:top w:val="none" w:sz="0" w:space="0" w:color="auto"/>
            <w:left w:val="none" w:sz="0" w:space="0" w:color="auto"/>
            <w:bottom w:val="none" w:sz="0" w:space="0" w:color="auto"/>
            <w:right w:val="none" w:sz="0" w:space="0" w:color="auto"/>
          </w:divBdr>
        </w:div>
        <w:div w:id="1405252196">
          <w:marLeft w:val="274"/>
          <w:marRight w:val="0"/>
          <w:marTop w:val="0"/>
          <w:marBottom w:val="0"/>
          <w:divBdr>
            <w:top w:val="none" w:sz="0" w:space="0" w:color="auto"/>
            <w:left w:val="none" w:sz="0" w:space="0" w:color="auto"/>
            <w:bottom w:val="none" w:sz="0" w:space="0" w:color="auto"/>
            <w:right w:val="none" w:sz="0" w:space="0" w:color="auto"/>
          </w:divBdr>
        </w:div>
        <w:div w:id="159275173">
          <w:marLeft w:val="274"/>
          <w:marRight w:val="0"/>
          <w:marTop w:val="0"/>
          <w:marBottom w:val="0"/>
          <w:divBdr>
            <w:top w:val="none" w:sz="0" w:space="0" w:color="auto"/>
            <w:left w:val="none" w:sz="0" w:space="0" w:color="auto"/>
            <w:bottom w:val="none" w:sz="0" w:space="0" w:color="auto"/>
            <w:right w:val="none" w:sz="0" w:space="0" w:color="auto"/>
          </w:divBdr>
        </w:div>
        <w:div w:id="1850101550">
          <w:marLeft w:val="274"/>
          <w:marRight w:val="0"/>
          <w:marTop w:val="0"/>
          <w:marBottom w:val="0"/>
          <w:divBdr>
            <w:top w:val="none" w:sz="0" w:space="0" w:color="auto"/>
            <w:left w:val="none" w:sz="0" w:space="0" w:color="auto"/>
            <w:bottom w:val="none" w:sz="0" w:space="0" w:color="auto"/>
            <w:right w:val="none" w:sz="0" w:space="0" w:color="auto"/>
          </w:divBdr>
        </w:div>
        <w:div w:id="403920071">
          <w:marLeft w:val="274"/>
          <w:marRight w:val="0"/>
          <w:marTop w:val="0"/>
          <w:marBottom w:val="0"/>
          <w:divBdr>
            <w:top w:val="none" w:sz="0" w:space="0" w:color="auto"/>
            <w:left w:val="none" w:sz="0" w:space="0" w:color="auto"/>
            <w:bottom w:val="none" w:sz="0" w:space="0" w:color="auto"/>
            <w:right w:val="none" w:sz="0" w:space="0" w:color="auto"/>
          </w:divBdr>
        </w:div>
        <w:div w:id="1594701191">
          <w:marLeft w:val="274"/>
          <w:marRight w:val="0"/>
          <w:marTop w:val="0"/>
          <w:marBottom w:val="0"/>
          <w:divBdr>
            <w:top w:val="none" w:sz="0" w:space="0" w:color="auto"/>
            <w:left w:val="none" w:sz="0" w:space="0" w:color="auto"/>
            <w:bottom w:val="none" w:sz="0" w:space="0" w:color="auto"/>
            <w:right w:val="none" w:sz="0" w:space="0" w:color="auto"/>
          </w:divBdr>
        </w:div>
        <w:div w:id="1542088224">
          <w:marLeft w:val="274"/>
          <w:marRight w:val="0"/>
          <w:marTop w:val="0"/>
          <w:marBottom w:val="0"/>
          <w:divBdr>
            <w:top w:val="none" w:sz="0" w:space="0" w:color="auto"/>
            <w:left w:val="none" w:sz="0" w:space="0" w:color="auto"/>
            <w:bottom w:val="none" w:sz="0" w:space="0" w:color="auto"/>
            <w:right w:val="none" w:sz="0" w:space="0" w:color="auto"/>
          </w:divBdr>
        </w:div>
        <w:div w:id="1080055919">
          <w:marLeft w:val="274"/>
          <w:marRight w:val="0"/>
          <w:marTop w:val="0"/>
          <w:marBottom w:val="0"/>
          <w:divBdr>
            <w:top w:val="none" w:sz="0" w:space="0" w:color="auto"/>
            <w:left w:val="none" w:sz="0" w:space="0" w:color="auto"/>
            <w:bottom w:val="none" w:sz="0" w:space="0" w:color="auto"/>
            <w:right w:val="none" w:sz="0" w:space="0" w:color="auto"/>
          </w:divBdr>
        </w:div>
      </w:divsChild>
    </w:div>
    <w:div w:id="1449860246">
      <w:bodyDiv w:val="1"/>
      <w:marLeft w:val="0"/>
      <w:marRight w:val="0"/>
      <w:marTop w:val="0"/>
      <w:marBottom w:val="0"/>
      <w:divBdr>
        <w:top w:val="none" w:sz="0" w:space="0" w:color="auto"/>
        <w:left w:val="none" w:sz="0" w:space="0" w:color="auto"/>
        <w:bottom w:val="none" w:sz="0" w:space="0" w:color="auto"/>
        <w:right w:val="none" w:sz="0" w:space="0" w:color="auto"/>
      </w:divBdr>
      <w:divsChild>
        <w:div w:id="1339578778">
          <w:marLeft w:val="274"/>
          <w:marRight w:val="0"/>
          <w:marTop w:val="0"/>
          <w:marBottom w:val="0"/>
          <w:divBdr>
            <w:top w:val="none" w:sz="0" w:space="0" w:color="auto"/>
            <w:left w:val="none" w:sz="0" w:space="0" w:color="auto"/>
            <w:bottom w:val="none" w:sz="0" w:space="0" w:color="auto"/>
            <w:right w:val="none" w:sz="0" w:space="0" w:color="auto"/>
          </w:divBdr>
        </w:div>
        <w:div w:id="1912042464">
          <w:marLeft w:val="274"/>
          <w:marRight w:val="0"/>
          <w:marTop w:val="0"/>
          <w:marBottom w:val="0"/>
          <w:divBdr>
            <w:top w:val="none" w:sz="0" w:space="0" w:color="auto"/>
            <w:left w:val="none" w:sz="0" w:space="0" w:color="auto"/>
            <w:bottom w:val="none" w:sz="0" w:space="0" w:color="auto"/>
            <w:right w:val="none" w:sz="0" w:space="0" w:color="auto"/>
          </w:divBdr>
        </w:div>
        <w:div w:id="44403530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support@cacrep.org" TargetMode="External"/><Relationship Id="rId3" Type="http://schemas.openxmlformats.org/officeDocument/2006/relationships/settings" Target="settings.xml"/><Relationship Id="rId7" Type="http://schemas.openxmlformats.org/officeDocument/2006/relationships/hyperlink" Target="https://www.cacrep.org/wp-content/uploads/2024/11/2024-CACREP-Standards-Guidance-Document-November-2024-update-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crep.org/cacrep-2024-standards-resource-page/" TargetMode="External"/><Relationship Id="rId11" Type="http://schemas.openxmlformats.org/officeDocument/2006/relationships/fontTable" Target="fontTable.xml"/><Relationship Id="rId5" Type="http://schemas.openxmlformats.org/officeDocument/2006/relationships/hyperlink" Target="https://www.cacrep.org/wp-content/uploads/2021/01/CACREP-Site-Visit-Team-Member-Application.pdf" TargetMode="External"/><Relationship Id="rId10" Type="http://schemas.openxmlformats.org/officeDocument/2006/relationships/hyperlink" Target="https://www.cacrep.org/wp-content/uploads/2024/11/2024-ACES-Regionals-CACREP-2024-Standards-and-Guidance-Document.pdf" TargetMode="External"/><Relationship Id="rId4" Type="http://schemas.openxmlformats.org/officeDocument/2006/relationships/webSettings" Target="webSettings.xml"/><Relationship Id="rId9" Type="http://schemas.openxmlformats.org/officeDocument/2006/relationships/hyperlink" Target="https://www.cacrep.org/ams-resourc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Fernandez</dc:creator>
  <cp:keywords/>
  <dc:description/>
  <cp:lastModifiedBy>Sylvia Fernandez</cp:lastModifiedBy>
  <cp:revision>19</cp:revision>
  <dcterms:created xsi:type="dcterms:W3CDTF">2024-11-30T19:30:00Z</dcterms:created>
  <dcterms:modified xsi:type="dcterms:W3CDTF">2024-11-30T20:29:00Z</dcterms:modified>
</cp:coreProperties>
</file>